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6721"/>
      </w:tblGrid>
      <w:tr w:rsidR="008C67AD" w:rsidRPr="002D0BB5" w14:paraId="071720CF" w14:textId="77777777" w:rsidTr="002731A2">
        <w:trPr>
          <w:trHeight w:val="492"/>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2D0BB5" w:rsidRDefault="008C67AD" w:rsidP="008C67AD">
            <w:pPr>
              <w:rPr>
                <w:rFonts w:ascii="Verdana" w:hAnsi="Verdana" w:cs="Arial"/>
                <w:b/>
                <w:color w:val="FFFFFF" w:themeColor="background1"/>
              </w:rPr>
            </w:pPr>
            <w:r w:rsidRPr="002D0BB5">
              <w:rPr>
                <w:rFonts w:ascii="Verdana" w:hAnsi="Verdana" w:cs="Arial"/>
                <w:b/>
                <w:color w:val="FFFFFF" w:themeColor="background1"/>
              </w:rPr>
              <w:t>Job Title</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7F9B624D" w14:textId="1E6B5253" w:rsidR="008C67AD" w:rsidRPr="002D0BB5" w:rsidRDefault="002041A7" w:rsidP="008C67AD">
            <w:pPr>
              <w:rPr>
                <w:rFonts w:ascii="Verdana" w:hAnsi="Verdana" w:cs="Arial"/>
              </w:rPr>
            </w:pPr>
            <w:r>
              <w:rPr>
                <w:rFonts w:ascii="Verdana" w:hAnsi="Verdana" w:cs="Arial"/>
              </w:rPr>
              <w:t xml:space="preserve">Positive </w:t>
            </w:r>
            <w:r w:rsidR="00F94A93">
              <w:rPr>
                <w:rFonts w:ascii="Verdana" w:hAnsi="Verdana" w:cs="Arial"/>
              </w:rPr>
              <w:t>Behaviour Consultant</w:t>
            </w:r>
          </w:p>
        </w:tc>
      </w:tr>
      <w:tr w:rsidR="008C67AD" w:rsidRPr="002D0BB5" w14:paraId="431DD323" w14:textId="77777777" w:rsidTr="002731A2">
        <w:trPr>
          <w:trHeight w:val="528"/>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2D0BB5" w:rsidRDefault="008C67AD" w:rsidP="008C67AD">
            <w:pPr>
              <w:rPr>
                <w:rFonts w:ascii="Verdana" w:hAnsi="Verdana" w:cs="Arial"/>
                <w:b/>
                <w:color w:val="E87556"/>
              </w:rPr>
            </w:pPr>
            <w:r w:rsidRPr="002D0BB5">
              <w:rPr>
                <w:rFonts w:ascii="Verdana" w:hAnsi="Verdana" w:cs="Arial"/>
                <w:b/>
                <w:color w:val="FFFFFF" w:themeColor="background1"/>
              </w:rPr>
              <w:t>Responsible to</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78ED4FDD" w14:textId="69F0F5B2" w:rsidR="008C67AD" w:rsidRPr="002D0BB5" w:rsidRDefault="00F94A93" w:rsidP="008C67AD">
            <w:pPr>
              <w:rPr>
                <w:rFonts w:ascii="Verdana" w:hAnsi="Verdana" w:cs="Arial"/>
              </w:rPr>
            </w:pPr>
            <w:r>
              <w:rPr>
                <w:rFonts w:ascii="Verdana" w:hAnsi="Verdana" w:cs="Arial"/>
              </w:rPr>
              <w:t>Head of Behaviour Support</w:t>
            </w:r>
          </w:p>
        </w:tc>
      </w:tr>
      <w:tr w:rsidR="008C67AD" w:rsidRPr="002D0BB5" w14:paraId="2E484965" w14:textId="77777777" w:rsidTr="002731A2">
        <w:trPr>
          <w:trHeight w:val="578"/>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77777777" w:rsidR="008C67AD" w:rsidRPr="002D0BB5" w:rsidRDefault="008C67AD" w:rsidP="008C67AD">
            <w:pPr>
              <w:rPr>
                <w:rFonts w:ascii="Verdana" w:hAnsi="Verdana" w:cs="Arial"/>
                <w:b/>
                <w:color w:val="FFFFFF" w:themeColor="background1"/>
              </w:rPr>
            </w:pPr>
            <w:r w:rsidRPr="002D0BB5">
              <w:rPr>
                <w:rFonts w:ascii="Verdana" w:hAnsi="Verdana" w:cs="Arial"/>
                <w:b/>
                <w:color w:val="FFFFFF" w:themeColor="background1"/>
              </w:rPr>
              <w:t>Responsible for</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433A4A7C" w14:textId="38384951" w:rsidR="008C67AD" w:rsidRPr="002D0BB5" w:rsidRDefault="00F94A93" w:rsidP="008C67AD">
            <w:pPr>
              <w:rPr>
                <w:rFonts w:ascii="Verdana" w:hAnsi="Verdana" w:cs="Arial"/>
              </w:rPr>
            </w:pPr>
            <w:r>
              <w:rPr>
                <w:rFonts w:ascii="Verdana" w:hAnsi="Verdana" w:cs="Arial"/>
              </w:rPr>
              <w:t xml:space="preserve">Developing and delivering Positive Behaviour Support (PBS) </w:t>
            </w:r>
            <w:r w:rsidR="00AA62B7">
              <w:rPr>
                <w:rFonts w:ascii="Verdana" w:hAnsi="Verdana" w:cs="Arial"/>
              </w:rPr>
              <w:t xml:space="preserve">to teams across </w:t>
            </w:r>
            <w:r w:rsidR="002041A7">
              <w:rPr>
                <w:rFonts w:ascii="Verdana" w:hAnsi="Verdana" w:cs="Arial"/>
              </w:rPr>
              <w:t xml:space="preserve">designated region at </w:t>
            </w:r>
            <w:r w:rsidR="00AA62B7">
              <w:rPr>
                <w:rFonts w:ascii="Verdana" w:hAnsi="Verdana" w:cs="Arial"/>
              </w:rPr>
              <w:t>SeeAbility</w:t>
            </w:r>
          </w:p>
        </w:tc>
      </w:tr>
    </w:tbl>
    <w:p w14:paraId="7545ABE2" w14:textId="254DFEC0" w:rsidR="00FA1CE8" w:rsidRPr="002D0BB5" w:rsidRDefault="00F67314" w:rsidP="000D611D">
      <w:pPr>
        <w:pStyle w:val="Heading1"/>
        <w:rPr>
          <w:rFonts w:ascii="Verdana" w:hAnsi="Verdana" w:cs="Arial"/>
          <w:sz w:val="22"/>
          <w:szCs w:val="22"/>
        </w:rPr>
      </w:pPr>
      <w:r w:rsidRPr="002D0BB5">
        <w:rPr>
          <w:rFonts w:ascii="Verdana" w:hAnsi="Verdana" w:cs="Arial"/>
          <w:sz w:val="22"/>
          <w:szCs w:val="22"/>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2D0BB5" w14:paraId="25666768" w14:textId="77777777" w:rsidTr="008129CE">
        <w:trPr>
          <w:trHeight w:val="74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6600B2CA" w:rsidR="00367043" w:rsidRPr="002D0BB5" w:rsidRDefault="00294170" w:rsidP="00F67314">
            <w:pPr>
              <w:rPr>
                <w:rFonts w:ascii="Verdana" w:hAnsi="Verdana" w:cs="Arial"/>
                <w:b/>
                <w:color w:val="E36C0A" w:themeColor="accent6" w:themeShade="BF"/>
              </w:rPr>
            </w:pPr>
            <w:r>
              <w:rPr>
                <w:rFonts w:ascii="Verdana" w:hAnsi="Verdana" w:cs="Arial"/>
                <w:b/>
                <w:color w:val="FFFFFF" w:themeColor="background1"/>
              </w:rPr>
              <w:t>Your Role</w:t>
            </w:r>
          </w:p>
        </w:tc>
      </w:tr>
      <w:tr w:rsidR="00367043" w:rsidRPr="002D0BB5"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118F5B1D" w14:textId="7282CA6F" w:rsidR="00CD37C6" w:rsidRDefault="00CD37C6" w:rsidP="00CD37C6">
            <w:pPr>
              <w:rPr>
                <w:rFonts w:ascii="Verdana" w:hAnsi="Verdana"/>
                <w:b/>
                <w:bCs/>
              </w:rPr>
            </w:pPr>
            <w:r w:rsidRPr="00CD37C6">
              <w:rPr>
                <w:rFonts w:ascii="Verdana" w:hAnsi="Verdana"/>
                <w:b/>
                <w:bCs/>
              </w:rPr>
              <w:t xml:space="preserve">The factual bit </w:t>
            </w:r>
          </w:p>
          <w:p w14:paraId="4119BCE3" w14:textId="7FA537BC" w:rsidR="002B4B74" w:rsidRDefault="002B4B74" w:rsidP="00CD37C6">
            <w:pPr>
              <w:rPr>
                <w:rFonts w:ascii="Verdana" w:hAnsi="Verdana"/>
              </w:rPr>
            </w:pPr>
            <w:r>
              <w:rPr>
                <w:rFonts w:ascii="Verdana" w:hAnsi="Verdana"/>
              </w:rPr>
              <w:t>This role is full-time</w:t>
            </w:r>
            <w:r w:rsidR="00E26F36">
              <w:rPr>
                <w:rFonts w:ascii="Verdana" w:hAnsi="Verdana"/>
              </w:rPr>
              <w:t xml:space="preserve"> (37.5 hours per week)</w:t>
            </w:r>
            <w:r>
              <w:rPr>
                <w:rFonts w:ascii="Verdana" w:hAnsi="Verdana"/>
              </w:rPr>
              <w:t xml:space="preserve"> and home-based with a requirement to travel</w:t>
            </w:r>
            <w:r w:rsidR="007849BF">
              <w:rPr>
                <w:rFonts w:ascii="Verdana" w:hAnsi="Verdana"/>
              </w:rPr>
              <w:t xml:space="preserve"> across</w:t>
            </w:r>
            <w:r w:rsidR="00674CF3">
              <w:rPr>
                <w:rFonts w:ascii="Verdana" w:hAnsi="Verdana"/>
              </w:rPr>
              <w:t xml:space="preserve"> Oxfordshire</w:t>
            </w:r>
            <w:r>
              <w:rPr>
                <w:rFonts w:ascii="Verdana" w:hAnsi="Verdana"/>
              </w:rPr>
              <w:t xml:space="preserve">. </w:t>
            </w:r>
          </w:p>
          <w:p w14:paraId="69AACECF" w14:textId="77777777" w:rsidR="002B4B74" w:rsidRDefault="002B4B74" w:rsidP="00CD37C6">
            <w:pPr>
              <w:rPr>
                <w:rFonts w:ascii="Verdana" w:hAnsi="Verdana"/>
              </w:rPr>
            </w:pPr>
          </w:p>
          <w:p w14:paraId="40D9CBD7" w14:textId="7DE48488" w:rsidR="002B4B74" w:rsidRDefault="00CA019B" w:rsidP="00CD37C6">
            <w:pPr>
              <w:rPr>
                <w:rFonts w:ascii="Verdana" w:hAnsi="Verdana"/>
              </w:rPr>
            </w:pPr>
            <w:r>
              <w:rPr>
                <w:rFonts w:ascii="Verdana" w:hAnsi="Verdana"/>
              </w:rPr>
              <w:t>Reporting to the Head of Behaviour Support you will:</w:t>
            </w:r>
          </w:p>
          <w:p w14:paraId="0854B104" w14:textId="77777777" w:rsidR="003954DE" w:rsidRDefault="003954DE" w:rsidP="00CD37C6">
            <w:pPr>
              <w:rPr>
                <w:rFonts w:ascii="Verdana" w:hAnsi="Verdana"/>
              </w:rPr>
            </w:pPr>
          </w:p>
          <w:p w14:paraId="3E7A677D" w14:textId="1F47F921" w:rsidR="00CA019B" w:rsidRDefault="00CA019B" w:rsidP="003954DE">
            <w:pPr>
              <w:pStyle w:val="ListParagraph"/>
              <w:numPr>
                <w:ilvl w:val="0"/>
                <w:numId w:val="15"/>
              </w:numPr>
              <w:rPr>
                <w:rFonts w:ascii="Verdana" w:hAnsi="Verdana"/>
              </w:rPr>
            </w:pPr>
            <w:r>
              <w:rPr>
                <w:rFonts w:ascii="Verdana" w:hAnsi="Verdana"/>
              </w:rPr>
              <w:t>Lead on the implementation of PBS across an identified region</w:t>
            </w:r>
          </w:p>
          <w:p w14:paraId="0ABB9D9E" w14:textId="670630DD" w:rsidR="00016140" w:rsidRDefault="00016140" w:rsidP="003954DE">
            <w:pPr>
              <w:pStyle w:val="ListParagraph"/>
              <w:numPr>
                <w:ilvl w:val="0"/>
                <w:numId w:val="15"/>
              </w:numPr>
              <w:rPr>
                <w:rFonts w:ascii="Verdana" w:hAnsi="Verdana"/>
              </w:rPr>
            </w:pPr>
            <w:r>
              <w:rPr>
                <w:rFonts w:ascii="Verdana" w:hAnsi="Verdana"/>
              </w:rPr>
              <w:t>Uphold and ensure a trauma-informed approach throughout your work and encourage this in the work of those around you</w:t>
            </w:r>
          </w:p>
          <w:p w14:paraId="78B58449" w14:textId="048CC7A4" w:rsidR="00016140" w:rsidRDefault="00016140" w:rsidP="00016140">
            <w:pPr>
              <w:pStyle w:val="ListParagraph"/>
              <w:numPr>
                <w:ilvl w:val="0"/>
                <w:numId w:val="15"/>
              </w:numPr>
              <w:rPr>
                <w:rFonts w:ascii="Verdana" w:hAnsi="Verdana"/>
              </w:rPr>
            </w:pPr>
            <w:r>
              <w:rPr>
                <w:rFonts w:ascii="Verdana" w:hAnsi="Verdana"/>
              </w:rPr>
              <w:t>Support the business development team with assessments and transitions ensuring commercial viability and</w:t>
            </w:r>
            <w:r w:rsidR="00B00722">
              <w:rPr>
                <w:rFonts w:ascii="Verdana" w:hAnsi="Verdana"/>
              </w:rPr>
              <w:t xml:space="preserve"> both</w:t>
            </w:r>
            <w:r>
              <w:rPr>
                <w:rFonts w:ascii="Verdana" w:hAnsi="Verdana"/>
              </w:rPr>
              <w:t xml:space="preserve"> clinical</w:t>
            </w:r>
            <w:r w:rsidR="00B00722">
              <w:rPr>
                <w:rFonts w:ascii="Verdana" w:hAnsi="Verdana"/>
              </w:rPr>
              <w:t xml:space="preserve"> and operational</w:t>
            </w:r>
            <w:r>
              <w:rPr>
                <w:rFonts w:ascii="Verdana" w:hAnsi="Verdana"/>
              </w:rPr>
              <w:t xml:space="preserve"> safety</w:t>
            </w:r>
            <w:r w:rsidR="00B00722">
              <w:rPr>
                <w:rFonts w:ascii="Verdana" w:hAnsi="Verdana"/>
              </w:rPr>
              <w:t xml:space="preserve"> for the people we support</w:t>
            </w:r>
          </w:p>
          <w:p w14:paraId="77D3D492" w14:textId="77D69EF7" w:rsidR="00B00722" w:rsidRDefault="00B00722" w:rsidP="00016140">
            <w:pPr>
              <w:pStyle w:val="ListParagraph"/>
              <w:numPr>
                <w:ilvl w:val="0"/>
                <w:numId w:val="15"/>
              </w:numPr>
              <w:rPr>
                <w:rFonts w:ascii="Verdana" w:hAnsi="Verdana"/>
              </w:rPr>
            </w:pPr>
            <w:r>
              <w:rPr>
                <w:rFonts w:ascii="Verdana" w:hAnsi="Verdana"/>
              </w:rPr>
              <w:t>Support the other members of the Clinical Assessment and Intervention Team</w:t>
            </w:r>
            <w:r w:rsidR="00AA62B7">
              <w:rPr>
                <w:rFonts w:ascii="Verdana" w:hAnsi="Verdana"/>
              </w:rPr>
              <w:t xml:space="preserve"> (CAIT)</w:t>
            </w:r>
            <w:r>
              <w:rPr>
                <w:rFonts w:ascii="Verdana" w:hAnsi="Verdana"/>
              </w:rPr>
              <w:t xml:space="preserve"> to develop and deliver our clinical strategy </w:t>
            </w:r>
          </w:p>
          <w:p w14:paraId="1F0750F9" w14:textId="77777777" w:rsidR="00016140" w:rsidRDefault="00016140" w:rsidP="00016140">
            <w:pPr>
              <w:ind w:left="360"/>
              <w:rPr>
                <w:rFonts w:ascii="Verdana" w:hAnsi="Verdana"/>
              </w:rPr>
            </w:pPr>
          </w:p>
          <w:p w14:paraId="044B9A8E" w14:textId="758233BA" w:rsidR="00016140" w:rsidRPr="00016140" w:rsidRDefault="00016140" w:rsidP="00016140">
            <w:pPr>
              <w:rPr>
                <w:rFonts w:ascii="Verdana" w:hAnsi="Verdana"/>
              </w:rPr>
            </w:pPr>
            <w:r w:rsidRPr="00016140">
              <w:rPr>
                <w:rFonts w:ascii="Verdana" w:hAnsi="Verdana"/>
              </w:rPr>
              <w:t>Ultimately, you will provide high quality PBS to support people with learning disabilities, autism, and sight-loss to live, love, thrive and belong</w:t>
            </w:r>
          </w:p>
          <w:p w14:paraId="7787C41E" w14:textId="77777777" w:rsidR="00DB1588" w:rsidRDefault="00DB1588" w:rsidP="00CD37C6">
            <w:pPr>
              <w:rPr>
                <w:rFonts w:ascii="Verdana" w:hAnsi="Verdana"/>
                <w:b/>
                <w:bCs/>
              </w:rPr>
            </w:pPr>
          </w:p>
          <w:p w14:paraId="71201D10" w14:textId="4A1A8C5E" w:rsidR="00CD37C6" w:rsidRDefault="00F62CAF" w:rsidP="00CD37C6">
            <w:pPr>
              <w:rPr>
                <w:rFonts w:ascii="Verdana" w:hAnsi="Verdana"/>
                <w:b/>
                <w:bCs/>
              </w:rPr>
            </w:pPr>
            <w:r w:rsidRPr="00F62CAF">
              <w:rPr>
                <w:rFonts w:ascii="Verdana" w:hAnsi="Verdana"/>
                <w:b/>
                <w:bCs/>
              </w:rPr>
              <w:t>Our Values</w:t>
            </w:r>
          </w:p>
          <w:p w14:paraId="5B3265B7" w14:textId="77777777" w:rsidR="00D275DE" w:rsidRDefault="00D275DE" w:rsidP="00CD37C6">
            <w:pPr>
              <w:rPr>
                <w:rFonts w:ascii="Verdana" w:hAnsi="Verdana"/>
                <w:b/>
                <w:bCs/>
              </w:rPr>
            </w:pPr>
          </w:p>
          <w:p w14:paraId="09BDF93F" w14:textId="594E941D" w:rsidR="00752B5E" w:rsidRDefault="00D275DE" w:rsidP="00CD37C6">
            <w:pPr>
              <w:rPr>
                <w:rFonts w:ascii="Verdana" w:hAnsi="Verdana"/>
                <w:b/>
                <w:bCs/>
              </w:rPr>
            </w:pPr>
            <w:r>
              <w:rPr>
                <w:noProof/>
              </w:rPr>
              <w:drawing>
                <wp:inline distT="0" distB="0" distL="0" distR="0" wp14:anchorId="369505D0" wp14:editId="5056DD1B">
                  <wp:extent cx="5528137" cy="1896035"/>
                  <wp:effectExtent l="0" t="0" r="0" b="9525"/>
                  <wp:docPr id="154702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22692" name=""/>
                          <pic:cNvPicPr/>
                        </pic:nvPicPr>
                        <pic:blipFill rotWithShape="1">
                          <a:blip r:embed="rId11">
                            <a:extLst>
                              <a:ext uri="{28A0092B-C50C-407E-A947-70E740481C1C}">
                                <a14:useLocalDpi xmlns:a14="http://schemas.microsoft.com/office/drawing/2010/main" val="0"/>
                              </a:ext>
                            </a:extLst>
                          </a:blip>
                          <a:srcRect t="9653" r="1388" b="7574"/>
                          <a:stretch/>
                        </pic:blipFill>
                        <pic:spPr bwMode="auto">
                          <a:xfrm>
                            <a:off x="0" y="0"/>
                            <a:ext cx="5565518" cy="1908856"/>
                          </a:xfrm>
                          <a:prstGeom prst="rect">
                            <a:avLst/>
                          </a:prstGeom>
                          <a:ln>
                            <a:noFill/>
                          </a:ln>
                          <a:extLst>
                            <a:ext uri="{53640926-AAD7-44D8-BBD7-CCE9431645EC}">
                              <a14:shadowObscured xmlns:a14="http://schemas.microsoft.com/office/drawing/2010/main"/>
                            </a:ext>
                          </a:extLst>
                        </pic:spPr>
                      </pic:pic>
                    </a:graphicData>
                  </a:graphic>
                </wp:inline>
              </w:drawing>
            </w:r>
          </w:p>
          <w:p w14:paraId="614754D1" w14:textId="3245061F" w:rsidR="00752B5E" w:rsidRDefault="00752B5E" w:rsidP="00CD37C6">
            <w:pPr>
              <w:rPr>
                <w:rFonts w:ascii="Verdana" w:hAnsi="Verdana"/>
                <w:b/>
                <w:bCs/>
              </w:rPr>
            </w:pPr>
          </w:p>
          <w:p w14:paraId="2F9E4C33" w14:textId="66D80C58" w:rsidR="00CD37C6" w:rsidRDefault="00CD37C6" w:rsidP="00CD37C6">
            <w:pPr>
              <w:rPr>
                <w:rFonts w:ascii="Verdana" w:hAnsi="Verdana"/>
                <w:b/>
                <w:bCs/>
              </w:rPr>
            </w:pPr>
            <w:r w:rsidRPr="00CD37C6">
              <w:rPr>
                <w:rFonts w:ascii="Verdana" w:hAnsi="Verdana"/>
                <w:b/>
                <w:bCs/>
              </w:rPr>
              <w:t xml:space="preserve">What you bring </w:t>
            </w:r>
          </w:p>
          <w:p w14:paraId="21377E43" w14:textId="77777777" w:rsidR="00E26F36" w:rsidRDefault="00E26F36" w:rsidP="00CD37C6">
            <w:pPr>
              <w:rPr>
                <w:rFonts w:ascii="Verdana" w:hAnsi="Verdana"/>
                <w:b/>
              </w:rPr>
            </w:pPr>
          </w:p>
          <w:p w14:paraId="60EF5C47" w14:textId="7971FE2A" w:rsidR="00E26F36" w:rsidRDefault="00E26F36" w:rsidP="00CD37C6">
            <w:pPr>
              <w:rPr>
                <w:rFonts w:ascii="Verdana" w:hAnsi="Verdana"/>
                <w:bCs/>
              </w:rPr>
            </w:pPr>
            <w:r>
              <w:rPr>
                <w:rFonts w:ascii="Verdana" w:hAnsi="Verdana"/>
                <w:bCs/>
              </w:rPr>
              <w:t xml:space="preserve">You will be a passionate and knowledgeable professional who is dedicated to improving the lives of people we support and their teams. </w:t>
            </w:r>
            <w:r w:rsidR="001C239F">
              <w:rPr>
                <w:rFonts w:ascii="Verdana" w:hAnsi="Verdana"/>
                <w:bCs/>
              </w:rPr>
              <w:t xml:space="preserve">You will have </w:t>
            </w:r>
            <w:r w:rsidR="001C239F">
              <w:rPr>
                <w:rFonts w:ascii="Verdana" w:hAnsi="Verdana"/>
                <w:bCs/>
              </w:rPr>
              <w:lastRenderedPageBreak/>
              <w:t xml:space="preserve">experience of leading teams to achieve greatness and building compassion-focused relationships with internal and external stakeholders. </w:t>
            </w:r>
          </w:p>
          <w:p w14:paraId="42C800DD" w14:textId="77777777" w:rsidR="00554468" w:rsidRDefault="00554468" w:rsidP="00CD37C6">
            <w:pPr>
              <w:rPr>
                <w:rFonts w:ascii="Verdana" w:hAnsi="Verdana"/>
                <w:bCs/>
              </w:rPr>
            </w:pPr>
          </w:p>
          <w:p w14:paraId="65FB6584" w14:textId="49499B4F" w:rsidR="00554468" w:rsidRDefault="00554468" w:rsidP="00CD37C6">
            <w:pPr>
              <w:rPr>
                <w:rFonts w:ascii="Verdana" w:hAnsi="Verdana"/>
                <w:bCs/>
              </w:rPr>
            </w:pPr>
            <w:r>
              <w:rPr>
                <w:rFonts w:ascii="Verdana" w:hAnsi="Verdana"/>
                <w:bCs/>
              </w:rPr>
              <w:t xml:space="preserve">It is essential that you have a minimum of a </w:t>
            </w:r>
            <w:r w:rsidR="001C239F">
              <w:rPr>
                <w:rFonts w:ascii="Verdana" w:hAnsi="Verdana"/>
                <w:bCs/>
              </w:rPr>
              <w:t>bachelor’s degree in applied</w:t>
            </w:r>
            <w:r>
              <w:rPr>
                <w:rFonts w:ascii="Verdana" w:hAnsi="Verdana"/>
                <w:bCs/>
              </w:rPr>
              <w:t xml:space="preserve"> Behaviour Analysis or a related field</w:t>
            </w:r>
            <w:r w:rsidR="00DB1588">
              <w:rPr>
                <w:rFonts w:ascii="Verdana" w:hAnsi="Verdana"/>
                <w:bCs/>
              </w:rPr>
              <w:t xml:space="preserve"> (e.g., Positive Behaviour Support)</w:t>
            </w:r>
            <w:r>
              <w:rPr>
                <w:rFonts w:ascii="Verdana" w:hAnsi="Verdana"/>
                <w:bCs/>
              </w:rPr>
              <w:t>, and desirable that you have</w:t>
            </w:r>
            <w:r w:rsidR="00746D18">
              <w:rPr>
                <w:rFonts w:ascii="Verdana" w:hAnsi="Verdana"/>
                <w:bCs/>
              </w:rPr>
              <w:t xml:space="preserve">, or are undertaking, </w:t>
            </w:r>
            <w:r w:rsidR="00CA019B">
              <w:rPr>
                <w:rFonts w:ascii="Verdana" w:hAnsi="Verdana"/>
                <w:bCs/>
              </w:rPr>
              <w:t>an eligible</w:t>
            </w:r>
            <w:r>
              <w:rPr>
                <w:rFonts w:ascii="Verdana" w:hAnsi="Verdana"/>
                <w:bCs/>
              </w:rPr>
              <w:t xml:space="preserve"> </w:t>
            </w:r>
            <w:r w:rsidR="001C239F">
              <w:rPr>
                <w:rFonts w:ascii="Verdana" w:hAnsi="Verdana"/>
                <w:bCs/>
              </w:rPr>
              <w:t>master’s</w:t>
            </w:r>
            <w:r>
              <w:rPr>
                <w:rFonts w:ascii="Verdana" w:hAnsi="Verdana"/>
                <w:bCs/>
              </w:rPr>
              <w:t xml:space="preserve"> degree </w:t>
            </w:r>
            <w:r w:rsidR="00CA019B">
              <w:rPr>
                <w:rFonts w:ascii="Verdana" w:hAnsi="Verdana"/>
                <w:bCs/>
              </w:rPr>
              <w:t>which places you</w:t>
            </w:r>
            <w:r>
              <w:rPr>
                <w:rFonts w:ascii="Verdana" w:hAnsi="Verdana"/>
                <w:bCs/>
              </w:rPr>
              <w:t xml:space="preserve"> on the pathway to become a BCBA or UKBA(Cert).</w:t>
            </w:r>
          </w:p>
          <w:p w14:paraId="040AC9E8" w14:textId="77777777" w:rsidR="00A13E19" w:rsidRDefault="00A13E19" w:rsidP="00CD37C6">
            <w:pPr>
              <w:rPr>
                <w:rFonts w:ascii="Verdana" w:hAnsi="Verdana"/>
                <w:bCs/>
              </w:rPr>
            </w:pPr>
          </w:p>
          <w:p w14:paraId="52E89AB5" w14:textId="07651C10" w:rsidR="00A13E19" w:rsidRPr="00E26F36" w:rsidRDefault="00A13E19" w:rsidP="00CD37C6">
            <w:pPr>
              <w:rPr>
                <w:rFonts w:ascii="Verdana" w:hAnsi="Verdana"/>
                <w:bCs/>
              </w:rPr>
            </w:pPr>
            <w:r>
              <w:rPr>
                <w:rFonts w:ascii="Verdana" w:hAnsi="Verdana"/>
                <w:bCs/>
              </w:rPr>
              <w:t>You’ll be either a full member or practising registrant of the UK Society for Behaviour Analysis (UK-SBA)</w:t>
            </w:r>
            <w:r w:rsidR="00DB1588">
              <w:rPr>
                <w:rFonts w:ascii="Verdana" w:hAnsi="Verdana"/>
                <w:bCs/>
              </w:rPr>
              <w:t xml:space="preserve"> and/or the </w:t>
            </w:r>
            <w:proofErr w:type="spellStart"/>
            <w:r w:rsidR="00DB1588">
              <w:rPr>
                <w:rFonts w:ascii="Verdana" w:hAnsi="Verdana"/>
                <w:bCs/>
              </w:rPr>
              <w:t>Behavior</w:t>
            </w:r>
            <w:proofErr w:type="spellEnd"/>
            <w:r w:rsidR="00DB1588">
              <w:rPr>
                <w:rFonts w:ascii="Verdana" w:hAnsi="Verdana"/>
                <w:bCs/>
              </w:rPr>
              <w:t xml:space="preserve"> Analyst Certification Board (BA</w:t>
            </w:r>
            <w:r w:rsidR="00C7393E">
              <w:rPr>
                <w:rFonts w:ascii="Verdana" w:hAnsi="Verdana"/>
                <w:bCs/>
              </w:rPr>
              <w:t>CB</w:t>
            </w:r>
            <w:r w:rsidR="00DB1588">
              <w:rPr>
                <w:rFonts w:ascii="Verdana" w:hAnsi="Verdana"/>
                <w:bCs/>
              </w:rPr>
              <w:t xml:space="preserve">) where applicable. </w:t>
            </w:r>
          </w:p>
          <w:p w14:paraId="54118C60" w14:textId="77777777" w:rsidR="00CD37C6" w:rsidRDefault="00CD37C6" w:rsidP="00767686">
            <w:pPr>
              <w:rPr>
                <w:rFonts w:ascii="Verdana" w:hAnsi="Verdana"/>
              </w:rPr>
            </w:pPr>
          </w:p>
          <w:p w14:paraId="1C4591D9" w14:textId="3CC97997" w:rsidR="00732AAD" w:rsidRDefault="00732AAD" w:rsidP="00767686">
            <w:pPr>
              <w:rPr>
                <w:rFonts w:ascii="Verdana" w:hAnsi="Verdana"/>
              </w:rPr>
            </w:pPr>
            <w:r>
              <w:rPr>
                <w:rFonts w:ascii="Verdana" w:hAnsi="Verdana"/>
              </w:rPr>
              <w:t>You will have experience of and willingness to deliver training and workshops, ideally as a PROACT-SCIPr-UK</w:t>
            </w:r>
            <w:r w:rsidRPr="00732AAD">
              <w:rPr>
                <w:rFonts w:ascii="Verdana" w:hAnsi="Verdana"/>
                <w:vertAlign w:val="superscript"/>
              </w:rPr>
              <w:t>®</w:t>
            </w:r>
            <w:r>
              <w:rPr>
                <w:rFonts w:ascii="Verdana" w:hAnsi="Verdana"/>
                <w:vertAlign w:val="superscript"/>
              </w:rPr>
              <w:t xml:space="preserve"> </w:t>
            </w:r>
            <w:r>
              <w:rPr>
                <w:rFonts w:ascii="Verdana" w:hAnsi="Verdana"/>
              </w:rPr>
              <w:t>instructor – but don’t worry if not, we’ll provide your training!</w:t>
            </w:r>
          </w:p>
          <w:p w14:paraId="70D7BE78" w14:textId="77777777" w:rsidR="00732AAD" w:rsidRDefault="00732AAD" w:rsidP="00767686">
            <w:pPr>
              <w:rPr>
                <w:rFonts w:ascii="Verdana" w:hAnsi="Verdana"/>
              </w:rPr>
            </w:pPr>
          </w:p>
          <w:p w14:paraId="0F753BF9" w14:textId="77777777" w:rsidR="00746D18" w:rsidRDefault="00732AAD" w:rsidP="00767686">
            <w:pPr>
              <w:rPr>
                <w:rFonts w:ascii="Verdana" w:hAnsi="Verdana"/>
              </w:rPr>
            </w:pPr>
            <w:r>
              <w:rPr>
                <w:rFonts w:ascii="Verdana" w:hAnsi="Verdana"/>
              </w:rPr>
              <w:t xml:space="preserve">You’ll have experience managing your diary autonomously to provide effective support across a wide geographical region. You’ll be able to work flexibly, both independently and as part of a team. </w:t>
            </w:r>
          </w:p>
          <w:p w14:paraId="1DD54796" w14:textId="77777777" w:rsidR="00746D18" w:rsidRDefault="00746D18" w:rsidP="00767686">
            <w:pPr>
              <w:rPr>
                <w:rFonts w:ascii="Verdana" w:hAnsi="Verdana"/>
              </w:rPr>
            </w:pPr>
          </w:p>
          <w:p w14:paraId="6A12D887" w14:textId="1F8A75C8" w:rsidR="00732AAD" w:rsidRDefault="00732AAD" w:rsidP="00767686">
            <w:pPr>
              <w:rPr>
                <w:rFonts w:ascii="Verdana" w:hAnsi="Verdana"/>
              </w:rPr>
            </w:pPr>
            <w:r>
              <w:rPr>
                <w:rFonts w:ascii="Verdana" w:hAnsi="Verdana"/>
              </w:rPr>
              <w:t>You’ll have strong interpersonal skills,</w:t>
            </w:r>
            <w:r w:rsidR="00746D18">
              <w:rPr>
                <w:rFonts w:ascii="Verdana" w:hAnsi="Verdana"/>
              </w:rPr>
              <w:t xml:space="preserve"> and experience of working with people from different backgrounds and at different levels in an organisation. </w:t>
            </w:r>
          </w:p>
          <w:p w14:paraId="3D93D974" w14:textId="77777777" w:rsidR="00A13E19" w:rsidRDefault="00A13E19" w:rsidP="00767686">
            <w:pPr>
              <w:rPr>
                <w:rFonts w:ascii="Verdana" w:hAnsi="Verdana"/>
              </w:rPr>
            </w:pPr>
          </w:p>
          <w:p w14:paraId="58DE42FE" w14:textId="44AB9356" w:rsidR="00A13E19" w:rsidRDefault="00A13E19" w:rsidP="00767686">
            <w:pPr>
              <w:rPr>
                <w:rFonts w:ascii="Verdana" w:hAnsi="Verdana"/>
              </w:rPr>
            </w:pPr>
            <w:r>
              <w:rPr>
                <w:rFonts w:ascii="Verdana" w:hAnsi="Verdana"/>
              </w:rPr>
              <w:t>You’ll have values that are congruent with SeeAbility’s mission. You’ll feel strongly about advocating for and empowering people with learning disabilities</w:t>
            </w:r>
            <w:r w:rsidR="00CA019B">
              <w:rPr>
                <w:rFonts w:ascii="Verdana" w:hAnsi="Verdana"/>
              </w:rPr>
              <w:t>, autism,</w:t>
            </w:r>
            <w:r>
              <w:rPr>
                <w:rFonts w:ascii="Verdana" w:hAnsi="Verdana"/>
              </w:rPr>
              <w:t xml:space="preserve"> and sight-loss. </w:t>
            </w:r>
          </w:p>
          <w:p w14:paraId="38843FA1" w14:textId="77777777" w:rsidR="00A13E19" w:rsidRDefault="00A13E19" w:rsidP="00767686">
            <w:pPr>
              <w:rPr>
                <w:rFonts w:ascii="Verdana" w:hAnsi="Verdana"/>
              </w:rPr>
            </w:pPr>
          </w:p>
          <w:p w14:paraId="607F544D" w14:textId="60AF2FC5" w:rsidR="00CA019B" w:rsidRDefault="00A13E19" w:rsidP="00767686">
            <w:pPr>
              <w:rPr>
                <w:rFonts w:ascii="Verdana" w:hAnsi="Verdana"/>
              </w:rPr>
            </w:pPr>
            <w:r>
              <w:rPr>
                <w:rFonts w:ascii="Verdana" w:hAnsi="Verdana"/>
              </w:rPr>
              <w:t>You’ll share the team’s passion for PBS and applied behaviour analysis, and will be enthusiastic about self-improvement, ensuring that</w:t>
            </w:r>
            <w:r w:rsidR="00892A80">
              <w:rPr>
                <w:rFonts w:ascii="Verdana" w:hAnsi="Verdana"/>
              </w:rPr>
              <w:t xml:space="preserve"> you meet requirements for continuing professional development. </w:t>
            </w:r>
          </w:p>
          <w:p w14:paraId="412B6C57" w14:textId="535CBBFB" w:rsidR="00732AAD" w:rsidRPr="002D0BB5" w:rsidRDefault="00732AAD" w:rsidP="00767686">
            <w:pPr>
              <w:rPr>
                <w:rFonts w:ascii="Verdana" w:hAnsi="Verdana"/>
              </w:rPr>
            </w:pPr>
          </w:p>
        </w:tc>
      </w:tr>
      <w:tr w:rsidR="002814AB" w:rsidRPr="002D0BB5" w14:paraId="797D55DF" w14:textId="77777777" w:rsidTr="008129CE">
        <w:trPr>
          <w:trHeight w:val="710"/>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B752E49" w14:textId="512220B7" w:rsidR="002814AB" w:rsidRPr="002D0BB5" w:rsidRDefault="00294170" w:rsidP="00A71D83">
            <w:pPr>
              <w:rPr>
                <w:rFonts w:ascii="Verdana" w:hAnsi="Verdana" w:cs="Arial"/>
                <w:b/>
                <w:color w:val="FFFFFF" w:themeColor="background1"/>
              </w:rPr>
            </w:pPr>
            <w:r>
              <w:rPr>
                <w:rFonts w:ascii="Verdana" w:hAnsi="Verdana" w:cs="Arial"/>
                <w:b/>
                <w:color w:val="FFFFFF" w:themeColor="background1"/>
              </w:rPr>
              <w:lastRenderedPageBreak/>
              <w:t>Your responsibilities</w:t>
            </w:r>
          </w:p>
        </w:tc>
      </w:tr>
      <w:tr w:rsidR="00294170" w:rsidRPr="002D0BB5" w14:paraId="4D66ED4E" w14:textId="77777777" w:rsidTr="008129CE">
        <w:trPr>
          <w:trHeight w:val="1131"/>
        </w:trPr>
        <w:tc>
          <w:tcPr>
            <w:tcW w:w="9049" w:type="dxa"/>
            <w:tcBorders>
              <w:top w:val="single" w:sz="18" w:space="0" w:color="23272A"/>
              <w:left w:val="single" w:sz="24" w:space="0" w:color="23272A"/>
              <w:bottom w:val="single" w:sz="18" w:space="0" w:color="23272A"/>
              <w:right w:val="single" w:sz="18" w:space="0" w:color="23272A"/>
            </w:tcBorders>
            <w:vAlign w:val="center"/>
          </w:tcPr>
          <w:p w14:paraId="54A99AAF" w14:textId="1B20C968" w:rsidR="00AC0D2D" w:rsidRDefault="003954DE" w:rsidP="00767686">
            <w:pPr>
              <w:pStyle w:val="ListParagraph"/>
              <w:numPr>
                <w:ilvl w:val="0"/>
                <w:numId w:val="14"/>
              </w:numPr>
              <w:rPr>
                <w:rFonts w:ascii="Verdana" w:hAnsi="Verdana" w:cs="Arial"/>
                <w:bCs/>
              </w:rPr>
            </w:pPr>
            <w:r>
              <w:rPr>
                <w:rFonts w:ascii="Verdana" w:hAnsi="Verdana" w:cs="Arial"/>
                <w:bCs/>
              </w:rPr>
              <w:t>Conducting functional behaviour</w:t>
            </w:r>
            <w:r w:rsidR="00C73220">
              <w:rPr>
                <w:rFonts w:ascii="Verdana" w:hAnsi="Verdana" w:cs="Arial"/>
                <w:bCs/>
              </w:rPr>
              <w:t xml:space="preserve"> assessments and other, evidence-based assessments to understand behaviour. </w:t>
            </w:r>
          </w:p>
          <w:p w14:paraId="361AAF70" w14:textId="77777777" w:rsidR="00AA05AC" w:rsidRDefault="00AA05AC" w:rsidP="00AA05AC">
            <w:pPr>
              <w:pStyle w:val="ListParagraph"/>
              <w:rPr>
                <w:rFonts w:ascii="Verdana" w:hAnsi="Verdana" w:cs="Arial"/>
                <w:bCs/>
              </w:rPr>
            </w:pPr>
          </w:p>
          <w:p w14:paraId="02CCD409" w14:textId="5CBB5222" w:rsidR="00AA05AC" w:rsidRDefault="00C73220" w:rsidP="00767686">
            <w:pPr>
              <w:pStyle w:val="ListParagraph"/>
              <w:numPr>
                <w:ilvl w:val="0"/>
                <w:numId w:val="14"/>
              </w:numPr>
              <w:rPr>
                <w:rFonts w:ascii="Verdana" w:hAnsi="Verdana" w:cs="Arial"/>
                <w:bCs/>
              </w:rPr>
            </w:pPr>
            <w:r>
              <w:rPr>
                <w:rFonts w:ascii="Verdana" w:hAnsi="Verdana" w:cs="Arial"/>
                <w:bCs/>
              </w:rPr>
              <w:t xml:space="preserve">Coproduction of </w:t>
            </w:r>
            <w:r w:rsidR="00CA019B">
              <w:rPr>
                <w:rFonts w:ascii="Verdana" w:hAnsi="Verdana" w:cs="Arial"/>
                <w:bCs/>
              </w:rPr>
              <w:t xml:space="preserve">function-based </w:t>
            </w:r>
            <w:r>
              <w:rPr>
                <w:rFonts w:ascii="Verdana" w:hAnsi="Verdana" w:cs="Arial"/>
                <w:bCs/>
              </w:rPr>
              <w:t>PBS plans</w:t>
            </w:r>
            <w:r w:rsidR="007849BF">
              <w:rPr>
                <w:rFonts w:ascii="Verdana" w:hAnsi="Verdana" w:cs="Arial"/>
                <w:bCs/>
              </w:rPr>
              <w:t xml:space="preserve">, crisis plans, </w:t>
            </w:r>
            <w:r w:rsidR="00AA05AC">
              <w:rPr>
                <w:rFonts w:ascii="Verdana" w:hAnsi="Verdana" w:cs="Arial"/>
                <w:bCs/>
              </w:rPr>
              <w:t xml:space="preserve">and </w:t>
            </w:r>
            <w:r w:rsidR="007849BF">
              <w:rPr>
                <w:rFonts w:ascii="Verdana" w:hAnsi="Verdana" w:cs="Arial"/>
                <w:bCs/>
              </w:rPr>
              <w:t>opportunity plans</w:t>
            </w:r>
            <w:r w:rsidR="00AA05AC">
              <w:rPr>
                <w:rFonts w:ascii="Verdana" w:hAnsi="Verdana" w:cs="Arial"/>
                <w:bCs/>
              </w:rPr>
              <w:t xml:space="preserve">. Effective use of practice leadership to ensure these are embedded </w:t>
            </w:r>
            <w:r w:rsidR="007849BF">
              <w:rPr>
                <w:rFonts w:ascii="Verdana" w:hAnsi="Verdana" w:cs="Arial"/>
                <w:bCs/>
              </w:rPr>
              <w:t>to provide the team with the right guidance</w:t>
            </w:r>
            <w:r w:rsidR="00AA05AC">
              <w:rPr>
                <w:rFonts w:ascii="Verdana" w:hAnsi="Verdana" w:cs="Arial"/>
                <w:bCs/>
              </w:rPr>
              <w:t xml:space="preserve"> (e.g., avoiding the ‘train and hope’ approach).</w:t>
            </w:r>
          </w:p>
          <w:p w14:paraId="2016A2FC" w14:textId="262F61EF" w:rsidR="00C73220" w:rsidRPr="00AA05AC" w:rsidRDefault="007849BF" w:rsidP="00AA05AC">
            <w:pPr>
              <w:rPr>
                <w:rFonts w:ascii="Verdana" w:hAnsi="Verdana" w:cs="Arial"/>
                <w:bCs/>
              </w:rPr>
            </w:pPr>
            <w:r w:rsidRPr="00AA05AC">
              <w:rPr>
                <w:rFonts w:ascii="Verdana" w:hAnsi="Verdana" w:cs="Arial"/>
                <w:bCs/>
              </w:rPr>
              <w:t xml:space="preserve"> </w:t>
            </w:r>
          </w:p>
          <w:p w14:paraId="1E4A8C47" w14:textId="65DED87A" w:rsidR="007849BF" w:rsidRDefault="007849BF" w:rsidP="00767686">
            <w:pPr>
              <w:pStyle w:val="ListParagraph"/>
              <w:numPr>
                <w:ilvl w:val="0"/>
                <w:numId w:val="14"/>
              </w:numPr>
              <w:rPr>
                <w:rFonts w:ascii="Verdana" w:hAnsi="Verdana" w:cs="Arial"/>
                <w:bCs/>
              </w:rPr>
            </w:pPr>
            <w:r>
              <w:rPr>
                <w:rFonts w:ascii="Verdana" w:hAnsi="Verdana" w:cs="Arial"/>
                <w:bCs/>
              </w:rPr>
              <w:t xml:space="preserve">Completion of restrictive practice audits and </w:t>
            </w:r>
            <w:r w:rsidR="00AA05AC">
              <w:rPr>
                <w:rFonts w:ascii="Verdana" w:hAnsi="Verdana" w:cs="Arial"/>
                <w:bCs/>
              </w:rPr>
              <w:t>coproduction of plans to reduce restrictions over time.</w:t>
            </w:r>
          </w:p>
          <w:p w14:paraId="68105CB2" w14:textId="77777777" w:rsidR="00AA05AC" w:rsidRPr="00AA05AC" w:rsidRDefault="00AA05AC" w:rsidP="00AA05AC">
            <w:pPr>
              <w:rPr>
                <w:rFonts w:ascii="Verdana" w:hAnsi="Verdana" w:cs="Arial"/>
                <w:bCs/>
              </w:rPr>
            </w:pPr>
          </w:p>
          <w:p w14:paraId="00DCC2B1" w14:textId="05FCC5FA" w:rsidR="007849BF" w:rsidRDefault="007849BF" w:rsidP="00767686">
            <w:pPr>
              <w:pStyle w:val="ListParagraph"/>
              <w:numPr>
                <w:ilvl w:val="0"/>
                <w:numId w:val="14"/>
              </w:numPr>
              <w:rPr>
                <w:rFonts w:ascii="Verdana" w:hAnsi="Verdana" w:cs="Arial"/>
                <w:bCs/>
              </w:rPr>
            </w:pPr>
            <w:r>
              <w:rPr>
                <w:rFonts w:ascii="Verdana" w:hAnsi="Verdana" w:cs="Arial"/>
                <w:bCs/>
              </w:rPr>
              <w:t>Delivery of PROACT-SCIPr-UK</w:t>
            </w:r>
            <w:r w:rsidRPr="007849BF">
              <w:rPr>
                <w:rFonts w:ascii="Verdana" w:hAnsi="Verdana" w:cs="Arial"/>
                <w:bCs/>
                <w:vertAlign w:val="superscript"/>
              </w:rPr>
              <w:t>®</w:t>
            </w:r>
            <w:r>
              <w:rPr>
                <w:rFonts w:ascii="Verdana" w:hAnsi="Verdana" w:cs="Arial"/>
                <w:bCs/>
                <w:vertAlign w:val="superscript"/>
              </w:rPr>
              <w:t xml:space="preserve"> </w:t>
            </w:r>
            <w:r>
              <w:rPr>
                <w:rFonts w:ascii="Verdana" w:hAnsi="Verdana" w:cs="Arial"/>
                <w:bCs/>
              </w:rPr>
              <w:t>training to local teams, including occasional travel to other regions to support other trainers</w:t>
            </w:r>
            <w:r w:rsidR="00AA05AC">
              <w:rPr>
                <w:rFonts w:ascii="Verdana" w:hAnsi="Verdana" w:cs="Arial"/>
                <w:bCs/>
              </w:rPr>
              <w:t>.</w:t>
            </w:r>
            <w:r>
              <w:rPr>
                <w:rFonts w:ascii="Verdana" w:hAnsi="Verdana" w:cs="Arial"/>
                <w:bCs/>
              </w:rPr>
              <w:t xml:space="preserve"> </w:t>
            </w:r>
          </w:p>
          <w:p w14:paraId="3FA41422" w14:textId="77777777" w:rsidR="00AA05AC" w:rsidRPr="00AA05AC" w:rsidRDefault="00AA05AC" w:rsidP="00AA05AC">
            <w:pPr>
              <w:rPr>
                <w:rFonts w:ascii="Verdana" w:hAnsi="Verdana" w:cs="Arial"/>
                <w:bCs/>
              </w:rPr>
            </w:pPr>
          </w:p>
          <w:p w14:paraId="2456A875" w14:textId="50BD10DC" w:rsidR="007849BF" w:rsidRDefault="007849BF" w:rsidP="00767686">
            <w:pPr>
              <w:pStyle w:val="ListParagraph"/>
              <w:numPr>
                <w:ilvl w:val="0"/>
                <w:numId w:val="14"/>
              </w:numPr>
              <w:rPr>
                <w:rFonts w:ascii="Verdana" w:hAnsi="Verdana" w:cs="Arial"/>
                <w:bCs/>
              </w:rPr>
            </w:pPr>
            <w:r>
              <w:rPr>
                <w:rFonts w:ascii="Verdana" w:hAnsi="Verdana" w:cs="Arial"/>
                <w:bCs/>
              </w:rPr>
              <w:t xml:space="preserve">Delivery of </w:t>
            </w:r>
            <w:r w:rsidR="00AA05AC">
              <w:rPr>
                <w:rFonts w:ascii="Verdana" w:hAnsi="Verdana" w:cs="Arial"/>
                <w:bCs/>
              </w:rPr>
              <w:t xml:space="preserve">proactive </w:t>
            </w:r>
            <w:r>
              <w:rPr>
                <w:rFonts w:ascii="Verdana" w:hAnsi="Verdana" w:cs="Arial"/>
                <w:bCs/>
              </w:rPr>
              <w:t>reflective practice sessions</w:t>
            </w:r>
            <w:r w:rsidR="00CA019B">
              <w:rPr>
                <w:rFonts w:ascii="Verdana" w:hAnsi="Verdana" w:cs="Arial"/>
                <w:bCs/>
              </w:rPr>
              <w:t xml:space="preserve"> and</w:t>
            </w:r>
            <w:r w:rsidR="00AA05AC">
              <w:rPr>
                <w:rFonts w:ascii="Verdana" w:hAnsi="Verdana" w:cs="Arial"/>
                <w:bCs/>
              </w:rPr>
              <w:t xml:space="preserve"> </w:t>
            </w:r>
            <w:r w:rsidR="00DB1588">
              <w:rPr>
                <w:rFonts w:ascii="Verdana" w:hAnsi="Verdana" w:cs="Arial"/>
                <w:bCs/>
              </w:rPr>
              <w:t xml:space="preserve">clinical supervision to our support teams. </w:t>
            </w:r>
          </w:p>
          <w:p w14:paraId="1CED7230" w14:textId="77777777" w:rsidR="00DB1588" w:rsidRPr="00DB1588" w:rsidRDefault="00DB1588" w:rsidP="00DB1588">
            <w:pPr>
              <w:pStyle w:val="ListParagraph"/>
              <w:rPr>
                <w:rFonts w:ascii="Verdana" w:hAnsi="Verdana" w:cs="Arial"/>
                <w:bCs/>
              </w:rPr>
            </w:pPr>
          </w:p>
          <w:p w14:paraId="31AEE0A9" w14:textId="47BE6F2C" w:rsidR="00DB1588" w:rsidRDefault="00DB1588" w:rsidP="00767686">
            <w:pPr>
              <w:pStyle w:val="ListParagraph"/>
              <w:numPr>
                <w:ilvl w:val="0"/>
                <w:numId w:val="14"/>
              </w:numPr>
              <w:rPr>
                <w:rFonts w:ascii="Verdana" w:hAnsi="Verdana" w:cs="Arial"/>
                <w:bCs/>
              </w:rPr>
            </w:pPr>
            <w:r>
              <w:rPr>
                <w:rFonts w:ascii="Verdana" w:hAnsi="Verdana" w:cs="Arial"/>
                <w:bCs/>
              </w:rPr>
              <w:t xml:space="preserve">Flexible delivery of welfare checks and debriefs to both the people we support and their teams following challenging incidents. </w:t>
            </w:r>
          </w:p>
          <w:p w14:paraId="1CDFDCE9" w14:textId="77777777" w:rsidR="00AA05AC" w:rsidRPr="00AA05AC" w:rsidRDefault="00AA05AC" w:rsidP="00AA05AC">
            <w:pPr>
              <w:rPr>
                <w:rFonts w:ascii="Verdana" w:hAnsi="Verdana" w:cs="Arial"/>
                <w:bCs/>
              </w:rPr>
            </w:pPr>
          </w:p>
          <w:p w14:paraId="0D5F6829" w14:textId="555FFADF" w:rsidR="007849BF" w:rsidRDefault="007849BF" w:rsidP="00767686">
            <w:pPr>
              <w:pStyle w:val="ListParagraph"/>
              <w:numPr>
                <w:ilvl w:val="0"/>
                <w:numId w:val="14"/>
              </w:numPr>
              <w:rPr>
                <w:rFonts w:ascii="Verdana" w:hAnsi="Verdana" w:cs="Arial"/>
                <w:bCs/>
              </w:rPr>
            </w:pPr>
            <w:r>
              <w:rPr>
                <w:rFonts w:ascii="Verdana" w:hAnsi="Verdana" w:cs="Arial"/>
                <w:bCs/>
              </w:rPr>
              <w:lastRenderedPageBreak/>
              <w:t>Ongoing analysis of data to inform practice, includin</w:t>
            </w:r>
            <w:r w:rsidR="00E26F36">
              <w:rPr>
                <w:rFonts w:ascii="Verdana" w:hAnsi="Verdana" w:cs="Arial"/>
                <w:bCs/>
              </w:rPr>
              <w:t xml:space="preserve">g </w:t>
            </w:r>
            <w:r w:rsidR="00DB1588">
              <w:rPr>
                <w:rFonts w:ascii="Verdana" w:hAnsi="Verdana" w:cs="Arial"/>
                <w:bCs/>
              </w:rPr>
              <w:t>that related</w:t>
            </w:r>
            <w:r w:rsidR="00E26F36">
              <w:rPr>
                <w:rFonts w:ascii="Verdana" w:hAnsi="Verdana" w:cs="Arial"/>
                <w:bCs/>
              </w:rPr>
              <w:t xml:space="preserve"> to incidents of behaviour that challenges and quality of life. </w:t>
            </w:r>
          </w:p>
          <w:p w14:paraId="7AFE0294" w14:textId="77777777" w:rsidR="00DB1588" w:rsidRPr="00DB1588" w:rsidRDefault="00DB1588" w:rsidP="00DB1588">
            <w:pPr>
              <w:pStyle w:val="ListParagraph"/>
              <w:rPr>
                <w:rFonts w:ascii="Verdana" w:hAnsi="Verdana" w:cs="Arial"/>
                <w:bCs/>
              </w:rPr>
            </w:pPr>
          </w:p>
          <w:p w14:paraId="4671134B" w14:textId="053E09B5" w:rsidR="00DB1588" w:rsidRDefault="00DB1588" w:rsidP="00767686">
            <w:pPr>
              <w:pStyle w:val="ListParagraph"/>
              <w:numPr>
                <w:ilvl w:val="0"/>
                <w:numId w:val="14"/>
              </w:numPr>
              <w:rPr>
                <w:rFonts w:ascii="Verdana" w:hAnsi="Verdana" w:cs="Arial"/>
                <w:bCs/>
              </w:rPr>
            </w:pPr>
            <w:r>
              <w:rPr>
                <w:rFonts w:ascii="Verdana" w:hAnsi="Verdana" w:cs="Arial"/>
                <w:bCs/>
              </w:rPr>
              <w:t xml:space="preserve">Other tasks commensurate with providing support under a PBS framework (e.g., writing analysis reports, attending governance meetings, signposting to other support, supporting outward referrals etc). </w:t>
            </w:r>
          </w:p>
          <w:p w14:paraId="37323399" w14:textId="77777777" w:rsidR="00DB1588" w:rsidRPr="00DB1588" w:rsidRDefault="00DB1588" w:rsidP="00DB1588">
            <w:pPr>
              <w:pStyle w:val="ListParagraph"/>
              <w:rPr>
                <w:rFonts w:ascii="Verdana" w:hAnsi="Verdana" w:cs="Arial"/>
                <w:bCs/>
              </w:rPr>
            </w:pPr>
          </w:p>
          <w:p w14:paraId="05C02403" w14:textId="32057F8A" w:rsidR="00DB1588" w:rsidRDefault="00DB1588" w:rsidP="00767686">
            <w:pPr>
              <w:pStyle w:val="ListParagraph"/>
              <w:numPr>
                <w:ilvl w:val="0"/>
                <w:numId w:val="14"/>
              </w:numPr>
              <w:rPr>
                <w:rFonts w:ascii="Verdana" w:hAnsi="Verdana" w:cs="Arial"/>
                <w:bCs/>
              </w:rPr>
            </w:pPr>
            <w:r>
              <w:rPr>
                <w:rFonts w:ascii="Verdana" w:hAnsi="Verdana" w:cs="Arial"/>
                <w:bCs/>
              </w:rPr>
              <w:t xml:space="preserve">Work with the operational and business development teams to consider new referrals, complete assessments (which may require travel out of area), recommend support strategies, and work to deliver smooth transitions into SeeAbility support. </w:t>
            </w:r>
          </w:p>
          <w:p w14:paraId="0C35BA87" w14:textId="77777777" w:rsidR="00AA05AC" w:rsidRPr="00AA05AC" w:rsidRDefault="00AA05AC" w:rsidP="00AA05AC">
            <w:pPr>
              <w:rPr>
                <w:rFonts w:ascii="Verdana" w:hAnsi="Verdana" w:cs="Arial"/>
                <w:bCs/>
              </w:rPr>
            </w:pPr>
          </w:p>
          <w:p w14:paraId="01E1C59E" w14:textId="7B6C6487" w:rsidR="00294170" w:rsidRPr="00DB1588" w:rsidRDefault="00AA05AC" w:rsidP="00DB1588">
            <w:pPr>
              <w:pStyle w:val="ListParagraph"/>
              <w:numPr>
                <w:ilvl w:val="0"/>
                <w:numId w:val="14"/>
              </w:numPr>
              <w:rPr>
                <w:rFonts w:ascii="Verdana" w:hAnsi="Verdana" w:cs="Arial"/>
                <w:bCs/>
              </w:rPr>
            </w:pPr>
            <w:r>
              <w:rPr>
                <w:rFonts w:ascii="Verdana" w:hAnsi="Verdana" w:cs="Arial"/>
                <w:bCs/>
              </w:rPr>
              <w:t xml:space="preserve">Effective use of our digital systems (e.g., iPlanit, SharePoint, Microsoft) to </w:t>
            </w:r>
            <w:r w:rsidR="00B00722">
              <w:rPr>
                <w:rFonts w:ascii="Verdana" w:hAnsi="Verdana" w:cs="Arial"/>
                <w:bCs/>
              </w:rPr>
              <w:t>keep</w:t>
            </w:r>
            <w:r w:rsidR="00DB1588">
              <w:rPr>
                <w:rFonts w:ascii="Verdana" w:hAnsi="Verdana" w:cs="Arial"/>
                <w:bCs/>
              </w:rPr>
              <w:t xml:space="preserve"> robust</w:t>
            </w:r>
            <w:r w:rsidR="00B00722">
              <w:rPr>
                <w:rFonts w:ascii="Verdana" w:hAnsi="Verdana" w:cs="Arial"/>
                <w:bCs/>
              </w:rPr>
              <w:t xml:space="preserve"> clinical notes and ensure confidentiality is upheld. </w:t>
            </w:r>
          </w:p>
        </w:tc>
      </w:tr>
    </w:tbl>
    <w:p w14:paraId="40D4B404" w14:textId="77777777" w:rsidR="00B8512C" w:rsidRPr="002D0BB5" w:rsidRDefault="00B8512C" w:rsidP="00B20AFD">
      <w:pPr>
        <w:rPr>
          <w:rFonts w:ascii="Verdana" w:hAnsi="Verdana"/>
        </w:rPr>
      </w:pPr>
    </w:p>
    <w:sectPr w:rsidR="00B8512C" w:rsidRPr="002D0BB5" w:rsidSect="00AC1D00">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90AC" w14:textId="77777777" w:rsidR="00D43C6A" w:rsidRDefault="00D43C6A" w:rsidP="00B8512C">
      <w:pPr>
        <w:spacing w:after="0" w:line="240" w:lineRule="auto"/>
      </w:pPr>
      <w:r>
        <w:separator/>
      </w:r>
    </w:p>
  </w:endnote>
  <w:endnote w:type="continuationSeparator" w:id="0">
    <w:p w14:paraId="3D796B8F" w14:textId="77777777" w:rsidR="00D43C6A" w:rsidRDefault="00D43C6A"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5270" w14:textId="77777777" w:rsidR="00D43C6A" w:rsidRDefault="00D43C6A" w:rsidP="00B8512C">
      <w:pPr>
        <w:spacing w:after="0" w:line="240" w:lineRule="auto"/>
      </w:pPr>
      <w:r>
        <w:separator/>
      </w:r>
    </w:p>
  </w:footnote>
  <w:footnote w:type="continuationSeparator" w:id="0">
    <w:p w14:paraId="2F8C8B1A" w14:textId="77777777" w:rsidR="00D43C6A" w:rsidRDefault="00D43C6A"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D9183D"/>
    <w:multiLevelType w:val="hybridMultilevel"/>
    <w:tmpl w:val="2BF6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7"/>
  </w:num>
  <w:num w:numId="2" w16cid:durableId="963342770">
    <w:abstractNumId w:val="1"/>
  </w:num>
  <w:num w:numId="3" w16cid:durableId="1282415139">
    <w:abstractNumId w:val="8"/>
  </w:num>
  <w:num w:numId="4" w16cid:durableId="1494029034">
    <w:abstractNumId w:val="9"/>
  </w:num>
  <w:num w:numId="5" w16cid:durableId="1776633651">
    <w:abstractNumId w:val="13"/>
  </w:num>
  <w:num w:numId="6" w16cid:durableId="890920088">
    <w:abstractNumId w:val="2"/>
  </w:num>
  <w:num w:numId="7" w16cid:durableId="1803763163">
    <w:abstractNumId w:val="5"/>
  </w:num>
  <w:num w:numId="8" w16cid:durableId="1825077675">
    <w:abstractNumId w:val="10"/>
  </w:num>
  <w:num w:numId="9" w16cid:durableId="192616275">
    <w:abstractNumId w:val="0"/>
  </w:num>
  <w:num w:numId="10" w16cid:durableId="1156383492">
    <w:abstractNumId w:val="12"/>
  </w:num>
  <w:num w:numId="11" w16cid:durableId="636299855">
    <w:abstractNumId w:val="4"/>
  </w:num>
  <w:num w:numId="12" w16cid:durableId="166868285">
    <w:abstractNumId w:val="3"/>
  </w:num>
  <w:num w:numId="13" w16cid:durableId="1230312959">
    <w:abstractNumId w:val="14"/>
  </w:num>
  <w:num w:numId="14" w16cid:durableId="132410056">
    <w:abstractNumId w:val="6"/>
  </w:num>
  <w:num w:numId="15" w16cid:durableId="53781860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0566D"/>
    <w:rsid w:val="00014384"/>
    <w:rsid w:val="0001556A"/>
    <w:rsid w:val="00016140"/>
    <w:rsid w:val="00017860"/>
    <w:rsid w:val="0004466A"/>
    <w:rsid w:val="0009148B"/>
    <w:rsid w:val="000A70BD"/>
    <w:rsid w:val="000C51F0"/>
    <w:rsid w:val="000D2ED5"/>
    <w:rsid w:val="000D611D"/>
    <w:rsid w:val="000E14DA"/>
    <w:rsid w:val="000E36C0"/>
    <w:rsid w:val="000E6739"/>
    <w:rsid w:val="00100060"/>
    <w:rsid w:val="00172691"/>
    <w:rsid w:val="00174878"/>
    <w:rsid w:val="00183919"/>
    <w:rsid w:val="0018591B"/>
    <w:rsid w:val="00191D35"/>
    <w:rsid w:val="00192F8C"/>
    <w:rsid w:val="001C239F"/>
    <w:rsid w:val="001E1809"/>
    <w:rsid w:val="001F0443"/>
    <w:rsid w:val="002041A7"/>
    <w:rsid w:val="00211D73"/>
    <w:rsid w:val="00213CC7"/>
    <w:rsid w:val="002731A2"/>
    <w:rsid w:val="002814AB"/>
    <w:rsid w:val="00293277"/>
    <w:rsid w:val="0029366B"/>
    <w:rsid w:val="00294170"/>
    <w:rsid w:val="002B4B74"/>
    <w:rsid w:val="002C3DC4"/>
    <w:rsid w:val="002D0BB5"/>
    <w:rsid w:val="002E064B"/>
    <w:rsid w:val="002F1C94"/>
    <w:rsid w:val="002F7236"/>
    <w:rsid w:val="00307A8E"/>
    <w:rsid w:val="00316546"/>
    <w:rsid w:val="00331F8E"/>
    <w:rsid w:val="00351FE2"/>
    <w:rsid w:val="00356336"/>
    <w:rsid w:val="00365D02"/>
    <w:rsid w:val="00367043"/>
    <w:rsid w:val="003737C4"/>
    <w:rsid w:val="0038695B"/>
    <w:rsid w:val="003954DE"/>
    <w:rsid w:val="00397096"/>
    <w:rsid w:val="003C3F77"/>
    <w:rsid w:val="003C5C75"/>
    <w:rsid w:val="003D104A"/>
    <w:rsid w:val="003D12D5"/>
    <w:rsid w:val="003D3117"/>
    <w:rsid w:val="003F55B9"/>
    <w:rsid w:val="00401E80"/>
    <w:rsid w:val="0040349D"/>
    <w:rsid w:val="0040556D"/>
    <w:rsid w:val="00420542"/>
    <w:rsid w:val="004209F3"/>
    <w:rsid w:val="00441556"/>
    <w:rsid w:val="0045466F"/>
    <w:rsid w:val="004922E9"/>
    <w:rsid w:val="00496312"/>
    <w:rsid w:val="004A04B2"/>
    <w:rsid w:val="004A4A93"/>
    <w:rsid w:val="004D04CC"/>
    <w:rsid w:val="004D7DB5"/>
    <w:rsid w:val="00504E3D"/>
    <w:rsid w:val="00523DBF"/>
    <w:rsid w:val="005314C3"/>
    <w:rsid w:val="00535393"/>
    <w:rsid w:val="00545F2F"/>
    <w:rsid w:val="00554468"/>
    <w:rsid w:val="00556674"/>
    <w:rsid w:val="005614AB"/>
    <w:rsid w:val="00565023"/>
    <w:rsid w:val="0057090B"/>
    <w:rsid w:val="00570B65"/>
    <w:rsid w:val="005A2A65"/>
    <w:rsid w:val="005B0705"/>
    <w:rsid w:val="005D6856"/>
    <w:rsid w:val="006113FE"/>
    <w:rsid w:val="00613010"/>
    <w:rsid w:val="006143F8"/>
    <w:rsid w:val="00617039"/>
    <w:rsid w:val="00623D3E"/>
    <w:rsid w:val="0062746F"/>
    <w:rsid w:val="00636F78"/>
    <w:rsid w:val="00674CF3"/>
    <w:rsid w:val="006B241B"/>
    <w:rsid w:val="006C70B2"/>
    <w:rsid w:val="006E539A"/>
    <w:rsid w:val="006E703C"/>
    <w:rsid w:val="006E7258"/>
    <w:rsid w:val="006F1468"/>
    <w:rsid w:val="007104A3"/>
    <w:rsid w:val="00732AAD"/>
    <w:rsid w:val="00745E5E"/>
    <w:rsid w:val="00746D18"/>
    <w:rsid w:val="00747414"/>
    <w:rsid w:val="00747B63"/>
    <w:rsid w:val="00752B5E"/>
    <w:rsid w:val="00761A6D"/>
    <w:rsid w:val="00767686"/>
    <w:rsid w:val="00767C41"/>
    <w:rsid w:val="00780F8E"/>
    <w:rsid w:val="007849BF"/>
    <w:rsid w:val="00791AFF"/>
    <w:rsid w:val="00796734"/>
    <w:rsid w:val="007B25A5"/>
    <w:rsid w:val="007C7BDE"/>
    <w:rsid w:val="008129CE"/>
    <w:rsid w:val="00823A08"/>
    <w:rsid w:val="00831E11"/>
    <w:rsid w:val="00872DB3"/>
    <w:rsid w:val="00892A80"/>
    <w:rsid w:val="008A027A"/>
    <w:rsid w:val="008A2336"/>
    <w:rsid w:val="008C368F"/>
    <w:rsid w:val="008C67AD"/>
    <w:rsid w:val="008D205A"/>
    <w:rsid w:val="008E38C5"/>
    <w:rsid w:val="00900715"/>
    <w:rsid w:val="00915046"/>
    <w:rsid w:val="00924818"/>
    <w:rsid w:val="00930759"/>
    <w:rsid w:val="009431CF"/>
    <w:rsid w:val="00966188"/>
    <w:rsid w:val="009911C3"/>
    <w:rsid w:val="009B2F0B"/>
    <w:rsid w:val="009B5A60"/>
    <w:rsid w:val="009B634C"/>
    <w:rsid w:val="009C41E1"/>
    <w:rsid w:val="009C48C1"/>
    <w:rsid w:val="009E42C6"/>
    <w:rsid w:val="00A13E19"/>
    <w:rsid w:val="00A325C8"/>
    <w:rsid w:val="00A4126A"/>
    <w:rsid w:val="00A547E9"/>
    <w:rsid w:val="00A55FBF"/>
    <w:rsid w:val="00A57786"/>
    <w:rsid w:val="00A71D83"/>
    <w:rsid w:val="00A82D73"/>
    <w:rsid w:val="00A83CC6"/>
    <w:rsid w:val="00A904C6"/>
    <w:rsid w:val="00AA05AC"/>
    <w:rsid w:val="00AA4A64"/>
    <w:rsid w:val="00AA6039"/>
    <w:rsid w:val="00AA62B7"/>
    <w:rsid w:val="00AB1BF9"/>
    <w:rsid w:val="00AB2EBF"/>
    <w:rsid w:val="00AB4267"/>
    <w:rsid w:val="00AB5937"/>
    <w:rsid w:val="00AC0D2D"/>
    <w:rsid w:val="00AC1D00"/>
    <w:rsid w:val="00AC3B5D"/>
    <w:rsid w:val="00AC4556"/>
    <w:rsid w:val="00AC5467"/>
    <w:rsid w:val="00AF221E"/>
    <w:rsid w:val="00AF5690"/>
    <w:rsid w:val="00B00722"/>
    <w:rsid w:val="00B0126B"/>
    <w:rsid w:val="00B0591E"/>
    <w:rsid w:val="00B070EB"/>
    <w:rsid w:val="00B112F1"/>
    <w:rsid w:val="00B20AFD"/>
    <w:rsid w:val="00B22D47"/>
    <w:rsid w:val="00B64143"/>
    <w:rsid w:val="00B75A4D"/>
    <w:rsid w:val="00B82877"/>
    <w:rsid w:val="00B8512C"/>
    <w:rsid w:val="00BF2D42"/>
    <w:rsid w:val="00BF6CCE"/>
    <w:rsid w:val="00C018EF"/>
    <w:rsid w:val="00C1777D"/>
    <w:rsid w:val="00C30B89"/>
    <w:rsid w:val="00C522D5"/>
    <w:rsid w:val="00C5531B"/>
    <w:rsid w:val="00C72A66"/>
    <w:rsid w:val="00C73220"/>
    <w:rsid w:val="00C7393E"/>
    <w:rsid w:val="00C750D4"/>
    <w:rsid w:val="00C81B9D"/>
    <w:rsid w:val="00C87892"/>
    <w:rsid w:val="00CA019B"/>
    <w:rsid w:val="00CA08B1"/>
    <w:rsid w:val="00CB162C"/>
    <w:rsid w:val="00CB18C1"/>
    <w:rsid w:val="00CD37C6"/>
    <w:rsid w:val="00CE7A1E"/>
    <w:rsid w:val="00D13168"/>
    <w:rsid w:val="00D23196"/>
    <w:rsid w:val="00D23BA5"/>
    <w:rsid w:val="00D275DE"/>
    <w:rsid w:val="00D356EA"/>
    <w:rsid w:val="00D3763A"/>
    <w:rsid w:val="00D43C6A"/>
    <w:rsid w:val="00D47423"/>
    <w:rsid w:val="00D62B30"/>
    <w:rsid w:val="00D81528"/>
    <w:rsid w:val="00D94224"/>
    <w:rsid w:val="00DB1588"/>
    <w:rsid w:val="00DB28F0"/>
    <w:rsid w:val="00DB4D9F"/>
    <w:rsid w:val="00DC659E"/>
    <w:rsid w:val="00DD2EF4"/>
    <w:rsid w:val="00DD7F9E"/>
    <w:rsid w:val="00E26F0F"/>
    <w:rsid w:val="00E26F36"/>
    <w:rsid w:val="00E520D0"/>
    <w:rsid w:val="00E5599F"/>
    <w:rsid w:val="00E57D3C"/>
    <w:rsid w:val="00EA6657"/>
    <w:rsid w:val="00EB0A0A"/>
    <w:rsid w:val="00ED39C6"/>
    <w:rsid w:val="00EE4B4A"/>
    <w:rsid w:val="00F026DF"/>
    <w:rsid w:val="00F40DB3"/>
    <w:rsid w:val="00F62CAF"/>
    <w:rsid w:val="00F67314"/>
    <w:rsid w:val="00F7487B"/>
    <w:rsid w:val="00F94A93"/>
    <w:rsid w:val="00FA1CE8"/>
    <w:rsid w:val="00FB534F"/>
    <w:rsid w:val="00FD385E"/>
    <w:rsid w:val="00FD4748"/>
    <w:rsid w:val="00F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semiHidden/>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semiHidden/>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92720FFB38F4696D7484323B857CD" ma:contentTypeVersion="17" ma:contentTypeDescription="Create a new document." ma:contentTypeScope="" ma:versionID="8a3abc6024fc6e2174265399f7dbdfd4">
  <xsd:schema xmlns:xsd="http://www.w3.org/2001/XMLSchema" xmlns:xs="http://www.w3.org/2001/XMLSchema" xmlns:p="http://schemas.microsoft.com/office/2006/metadata/properties" xmlns:ns2="733d3e37-2a17-498e-a00f-da69d6d24b28" xmlns:ns3="7e19c16d-00cb-4f44-b0b1-864c04f73bfe" targetNamespace="http://schemas.microsoft.com/office/2006/metadata/properties" ma:root="true" ma:fieldsID="5c41804ca6b9d2db5b073047a56e3866" ns2:_="" ns3:_="">
    <xsd:import namespace="733d3e37-2a17-498e-a00f-da69d6d24b28"/>
    <xsd:import namespace="7e19c16d-00cb-4f44-b0b1-864c04f73b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d3e37-2a17-498e-a00f-da69d6d24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19c16d-00cb-4f44-b0b1-864c04f73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cda4f9-65a1-47c4-ac79-bcd0a4a97f45}" ma:internalName="TaxCatchAll" ma:showField="CatchAllData" ma:web="7e19c16d-00cb-4f44-b0b1-864c04f73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19c16d-00cb-4f44-b0b1-864c04f73bfe" xsi:nil="true"/>
    <lcf76f155ced4ddcb4097134ff3c332f xmlns="733d3e37-2a17-498e-a00f-da69d6d24b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B037-3982-4773-B7CF-E99DC0F87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d3e37-2a17-498e-a00f-da69d6d24b28"/>
    <ds:schemaRef ds:uri="7e19c16d-00cb-4f44-b0b1-864c04f73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3.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7e19c16d-00cb-4f44-b0b1-864c04f73bfe"/>
    <ds:schemaRef ds:uri="733d3e37-2a17-498e-a00f-da69d6d24b28"/>
  </ds:schemaRefs>
</ds:datastoreItem>
</file>

<file path=customXml/itemProps4.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Farah Munir</cp:lastModifiedBy>
  <cp:revision>4</cp:revision>
  <cp:lastPrinted>2017-10-03T11:05:00Z</cp:lastPrinted>
  <dcterms:created xsi:type="dcterms:W3CDTF">2024-12-30T15:00:00Z</dcterms:created>
  <dcterms:modified xsi:type="dcterms:W3CDTF">2026-02-06T09:30:00Z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0x0101001E792720FFB38F4696D7484323B857CD</vt:lpwstr>
  </property>
  <property fmtid="{D5CDD505-2E9C-101B-9397-08002B2CF9AE}" pid="3" name="Order">
    <vt:r8>1886400</vt:r8>
  </property>
</Properties>
</file>